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80" w:type="dxa"/>
        <w:tblCellMar>
          <w:left w:w="0" w:type="dxa"/>
          <w:right w:w="0" w:type="dxa"/>
        </w:tblCellMar>
        <w:tblLook w:val="0420" w:firstRow="1" w:lastRow="0" w:firstColumn="0" w:lastColumn="0" w:noHBand="0" w:noVBand="1"/>
      </w:tblPr>
      <w:tblGrid>
        <w:gridCol w:w="546"/>
        <w:gridCol w:w="4130"/>
        <w:gridCol w:w="2930"/>
        <w:gridCol w:w="2512"/>
        <w:gridCol w:w="5762"/>
      </w:tblGrid>
      <w:tr w:rsidR="00F4016B" w:rsidRPr="009830F8" w14:paraId="31FA5268" w14:textId="77777777" w:rsidTr="0047334C">
        <w:trPr>
          <w:trHeight w:val="164"/>
        </w:trPr>
        <w:tc>
          <w:tcPr>
            <w:tcW w:w="15880" w:type="dxa"/>
            <w:gridSpan w:val="5"/>
            <w:tcBorders>
              <w:top w:val="single" w:sz="4" w:space="0" w:color="000000"/>
              <w:left w:val="single" w:sz="4" w:space="0" w:color="000000"/>
              <w:bottom w:val="single" w:sz="4" w:space="0" w:color="000000"/>
              <w:right w:val="single" w:sz="4" w:space="0" w:color="000000"/>
            </w:tcBorders>
            <w:shd w:val="clear" w:color="auto" w:fill="5B9BD5" w:themeFill="accent1"/>
          </w:tcPr>
          <w:p w14:paraId="3CCA2500" w14:textId="77777777" w:rsidR="00F4016B" w:rsidRPr="009830F8" w:rsidRDefault="00F4016B" w:rsidP="007026A7">
            <w:pPr>
              <w:spacing w:after="0" w:line="240" w:lineRule="auto"/>
              <w:rPr>
                <w:rFonts w:ascii="Century Gothic" w:hAnsi="Century Gothic"/>
                <w:sz w:val="20"/>
              </w:rPr>
            </w:pPr>
            <w:r w:rsidRPr="009830F8">
              <w:rPr>
                <w:rFonts w:ascii="Century Gothic" w:hAnsi="Century Gothic"/>
                <w:b/>
                <w:bCs/>
                <w:color w:val="FFFFFF" w:themeColor="background1"/>
                <w:sz w:val="20"/>
              </w:rPr>
              <w:t>Identifying key knowledge in Key Stage 1</w:t>
            </w:r>
          </w:p>
        </w:tc>
      </w:tr>
      <w:tr w:rsidR="00F4016B" w:rsidRPr="009830F8" w14:paraId="6AD94E6D" w14:textId="77777777" w:rsidTr="0047334C">
        <w:trPr>
          <w:trHeight w:val="477"/>
        </w:trPr>
        <w:tc>
          <w:tcPr>
            <w:tcW w:w="15880" w:type="dxa"/>
            <w:gridSpan w:val="5"/>
            <w:tcBorders>
              <w:top w:val="single" w:sz="4" w:space="0" w:color="000000"/>
              <w:left w:val="single" w:sz="4" w:space="0" w:color="000000"/>
              <w:bottom w:val="single" w:sz="4" w:space="0" w:color="000000"/>
              <w:right w:val="single" w:sz="4" w:space="0" w:color="000000"/>
            </w:tcBorders>
          </w:tcPr>
          <w:p w14:paraId="6B383EB7" w14:textId="77777777" w:rsidR="00F4016B" w:rsidRPr="009830F8" w:rsidRDefault="00F4016B" w:rsidP="009830F8">
            <w:pPr>
              <w:numPr>
                <w:ilvl w:val="0"/>
                <w:numId w:val="1"/>
              </w:numPr>
              <w:spacing w:after="0" w:line="240" w:lineRule="auto"/>
              <w:rPr>
                <w:rFonts w:ascii="Century Gothic" w:hAnsi="Century Gothic"/>
                <w:sz w:val="20"/>
              </w:rPr>
            </w:pPr>
            <w:r w:rsidRPr="009830F8">
              <w:rPr>
                <w:rFonts w:ascii="Century Gothic" w:hAnsi="Century Gothic"/>
                <w:sz w:val="20"/>
              </w:rPr>
              <w:t xml:space="preserve">The national curriculum subject content requirements are presented in Key Stages. The history national curriculum also has a key list of aims that must be considered when planning a history curriculum. The </w:t>
            </w:r>
            <w:r w:rsidRPr="009830F8">
              <w:rPr>
                <w:rFonts w:ascii="Century Gothic" w:hAnsi="Century Gothic"/>
                <w:b/>
                <w:bCs/>
                <w:sz w:val="20"/>
              </w:rPr>
              <w:t xml:space="preserve">key knowledge </w:t>
            </w:r>
            <w:r w:rsidRPr="009830F8">
              <w:rPr>
                <w:rFonts w:ascii="Century Gothic" w:hAnsi="Century Gothic"/>
                <w:sz w:val="20"/>
              </w:rPr>
              <w:t xml:space="preserve">outlined here are therefore presented in national curriculum themes enabling staff to make choices as to when they are taught, so that knowledge and skills build on what has been taught before. </w:t>
            </w:r>
          </w:p>
          <w:p w14:paraId="67CAD1A3" w14:textId="77777777" w:rsidR="00F4016B" w:rsidRPr="009830F8" w:rsidRDefault="00F4016B" w:rsidP="009830F8">
            <w:pPr>
              <w:numPr>
                <w:ilvl w:val="0"/>
                <w:numId w:val="1"/>
              </w:numPr>
              <w:spacing w:after="0" w:line="240" w:lineRule="auto"/>
              <w:rPr>
                <w:rFonts w:ascii="Century Gothic" w:hAnsi="Century Gothic"/>
                <w:sz w:val="20"/>
              </w:rPr>
            </w:pPr>
            <w:r w:rsidRPr="009830F8">
              <w:rPr>
                <w:rFonts w:ascii="Century Gothic" w:hAnsi="Century Gothic"/>
                <w:sz w:val="20"/>
              </w:rPr>
              <w:t>However, there will some recommendations made. For example, it would seem sensible, but not compulsory, to teach the ’within living memory’ unit in Year 1 and the ‘beyond living memory’ unit in Year 2.</w:t>
            </w:r>
          </w:p>
        </w:tc>
      </w:tr>
      <w:tr w:rsidR="00F4016B" w:rsidRPr="009830F8" w14:paraId="53105B87" w14:textId="77777777" w:rsidTr="0047334C">
        <w:trPr>
          <w:trHeight w:val="214"/>
        </w:trPr>
        <w:tc>
          <w:tcPr>
            <w:tcW w:w="15880" w:type="dxa"/>
            <w:gridSpan w:val="5"/>
            <w:tcBorders>
              <w:top w:val="single" w:sz="4" w:space="0" w:color="000000"/>
              <w:left w:val="single" w:sz="4" w:space="0" w:color="000000"/>
              <w:bottom w:val="single" w:sz="4" w:space="0" w:color="000000"/>
              <w:right w:val="single" w:sz="4" w:space="0" w:color="000000"/>
            </w:tcBorders>
          </w:tcPr>
          <w:p w14:paraId="2DA2A13D" w14:textId="77777777" w:rsidR="00F4016B" w:rsidRPr="009830F8" w:rsidRDefault="00F4016B" w:rsidP="009830F8">
            <w:pPr>
              <w:numPr>
                <w:ilvl w:val="0"/>
                <w:numId w:val="1"/>
              </w:numPr>
              <w:spacing w:after="0" w:line="240" w:lineRule="auto"/>
              <w:rPr>
                <w:rFonts w:ascii="Century Gothic" w:hAnsi="Century Gothic"/>
                <w:sz w:val="20"/>
              </w:rPr>
            </w:pPr>
            <w:r w:rsidRPr="009830F8">
              <w:rPr>
                <w:rFonts w:ascii="Century Gothic" w:hAnsi="Century Gothic"/>
                <w:sz w:val="20"/>
              </w:rPr>
              <w:t>The history knowledge learning in Key Stage 1 can be blocked into four main units:</w:t>
            </w:r>
          </w:p>
        </w:tc>
      </w:tr>
      <w:tr w:rsidR="00F4016B" w:rsidRPr="009830F8" w14:paraId="2553CA60" w14:textId="77777777" w:rsidTr="0047334C">
        <w:trPr>
          <w:trHeight w:val="230"/>
        </w:trPr>
        <w:tc>
          <w:tcPr>
            <w:tcW w:w="54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tcPr>
          <w:p w14:paraId="359436FD" w14:textId="77777777" w:rsidR="00F4016B" w:rsidRPr="009830F8" w:rsidRDefault="00F4016B" w:rsidP="00F4016B">
            <w:pPr>
              <w:spacing w:after="0" w:line="240" w:lineRule="auto"/>
              <w:jc w:val="center"/>
              <w:rPr>
                <w:rFonts w:ascii="Century Gothic" w:hAnsi="Century Gothic"/>
                <w:sz w:val="20"/>
              </w:rPr>
            </w:pPr>
          </w:p>
        </w:tc>
        <w:tc>
          <w:tcPr>
            <w:tcW w:w="41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0E65CC" w14:textId="77777777" w:rsidR="00F4016B" w:rsidRPr="009830F8" w:rsidRDefault="00F4016B" w:rsidP="00F4016B">
            <w:pPr>
              <w:spacing w:after="0" w:line="240" w:lineRule="auto"/>
              <w:jc w:val="center"/>
              <w:rPr>
                <w:rFonts w:ascii="Century Gothic" w:hAnsi="Century Gothic"/>
                <w:sz w:val="20"/>
              </w:rPr>
            </w:pPr>
            <w:r w:rsidRPr="009830F8">
              <w:rPr>
                <w:rFonts w:ascii="Century Gothic" w:hAnsi="Century Gothic"/>
                <w:b/>
                <w:bCs/>
                <w:sz w:val="20"/>
              </w:rPr>
              <w:t>Within living memory</w:t>
            </w:r>
          </w:p>
        </w:tc>
        <w:tc>
          <w:tcPr>
            <w:tcW w:w="29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4D640D70" w14:textId="77777777" w:rsidR="00F4016B" w:rsidRPr="009830F8" w:rsidRDefault="00F4016B" w:rsidP="00F4016B">
            <w:pPr>
              <w:spacing w:after="0" w:line="240" w:lineRule="auto"/>
              <w:jc w:val="center"/>
              <w:rPr>
                <w:rFonts w:ascii="Century Gothic" w:hAnsi="Century Gothic"/>
                <w:sz w:val="20"/>
              </w:rPr>
            </w:pPr>
            <w:r w:rsidRPr="009830F8">
              <w:rPr>
                <w:rFonts w:ascii="Century Gothic" w:hAnsi="Century Gothic"/>
                <w:b/>
                <w:bCs/>
                <w:sz w:val="20"/>
              </w:rPr>
              <w:t>Beyond living memory</w:t>
            </w:r>
          </w:p>
        </w:tc>
        <w:tc>
          <w:tcPr>
            <w:tcW w:w="25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126462B9" w14:textId="77777777" w:rsidR="00F4016B" w:rsidRPr="009830F8" w:rsidRDefault="00F4016B" w:rsidP="00F4016B">
            <w:pPr>
              <w:spacing w:after="0" w:line="240" w:lineRule="auto"/>
              <w:jc w:val="center"/>
              <w:rPr>
                <w:rFonts w:ascii="Century Gothic" w:hAnsi="Century Gothic"/>
                <w:sz w:val="20"/>
              </w:rPr>
            </w:pPr>
            <w:r w:rsidRPr="009830F8">
              <w:rPr>
                <w:rFonts w:ascii="Century Gothic" w:hAnsi="Century Gothic"/>
                <w:b/>
                <w:bCs/>
                <w:sz w:val="20"/>
              </w:rPr>
              <w:t>Lives of significant people</w:t>
            </w:r>
          </w:p>
        </w:tc>
        <w:tc>
          <w:tcPr>
            <w:tcW w:w="57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72" w:type="dxa"/>
              <w:left w:w="144" w:type="dxa"/>
              <w:bottom w:w="72" w:type="dxa"/>
              <w:right w:w="144" w:type="dxa"/>
            </w:tcMar>
            <w:hideMark/>
          </w:tcPr>
          <w:p w14:paraId="302C0F4D" w14:textId="77777777" w:rsidR="00F4016B" w:rsidRPr="009830F8" w:rsidRDefault="00F4016B" w:rsidP="00F4016B">
            <w:pPr>
              <w:spacing w:after="0" w:line="240" w:lineRule="auto"/>
              <w:jc w:val="center"/>
              <w:rPr>
                <w:rFonts w:ascii="Century Gothic" w:hAnsi="Century Gothic"/>
                <w:sz w:val="20"/>
              </w:rPr>
            </w:pPr>
            <w:r w:rsidRPr="009830F8">
              <w:rPr>
                <w:rFonts w:ascii="Century Gothic" w:hAnsi="Century Gothic"/>
                <w:b/>
                <w:bCs/>
                <w:sz w:val="20"/>
              </w:rPr>
              <w:t>Local history</w:t>
            </w:r>
          </w:p>
        </w:tc>
      </w:tr>
      <w:tr w:rsidR="00F4016B" w:rsidRPr="009830F8" w14:paraId="37175AF3" w14:textId="77777777" w:rsidTr="0047334C">
        <w:trPr>
          <w:trHeight w:val="477"/>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A8790B4" w14:textId="77777777" w:rsidR="00F4016B" w:rsidRPr="009830F8" w:rsidRDefault="00F4016B" w:rsidP="00F4016B">
            <w:pPr>
              <w:spacing w:after="0" w:line="240" w:lineRule="auto"/>
              <w:rPr>
                <w:rFonts w:ascii="Century Gothic" w:hAnsi="Century Gothic"/>
                <w:sz w:val="20"/>
              </w:rPr>
            </w:pPr>
          </w:p>
        </w:tc>
        <w:tc>
          <w:tcPr>
            <w:tcW w:w="4132" w:type="dxa"/>
            <w:tcBorders>
              <w:top w:val="single" w:sz="4" w:space="0" w:color="000000"/>
              <w:left w:val="single" w:sz="4" w:space="0" w:color="000000"/>
              <w:bottom w:val="single" w:sz="4" w:space="0" w:color="000000"/>
              <w:right w:val="single" w:sz="4" w:space="0" w:color="000000"/>
            </w:tcBorders>
          </w:tcPr>
          <w:p w14:paraId="5DC71C56"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i/>
                <w:iCs/>
                <w:sz w:val="20"/>
              </w:rPr>
              <w:t xml:space="preserve">changes within living memory. Where appropriate, these should be used to reveal aspects of change in national life </w:t>
            </w:r>
          </w:p>
          <w:p w14:paraId="3A96EC01"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i/>
                <w:iCs/>
                <w:sz w:val="20"/>
              </w:rPr>
              <w:t>(Recommend Year 1)</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AE8B742"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i/>
                <w:iCs/>
                <w:sz w:val="20"/>
              </w:rPr>
              <w:t xml:space="preserve">events beyond living memory that are significant nationally or globally [for example, the Great Fire of London, the first aeroplane flight or events commemorated through festivals or anniversaries] </w:t>
            </w:r>
          </w:p>
          <w:p w14:paraId="5CCB3119"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i/>
                <w:iCs/>
                <w:sz w:val="20"/>
              </w:rPr>
              <w:t>(Recommend Year 2)</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A2768EA"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i/>
                <w:iCs/>
                <w:sz w:val="20"/>
              </w:rPr>
              <w:t xml:space="preserve">the lives of significant individuals in the past who have contributed to national and international achievements. Some should be used to compare aspects of life in different periods </w:t>
            </w:r>
          </w:p>
        </w:tc>
        <w:tc>
          <w:tcPr>
            <w:tcW w:w="57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F0DB3B"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i/>
                <w:iCs/>
                <w:sz w:val="20"/>
              </w:rPr>
              <w:t>significant historical events, people and places in their own locality</w:t>
            </w:r>
          </w:p>
        </w:tc>
      </w:tr>
      <w:tr w:rsidR="00F4016B" w:rsidRPr="009830F8" w14:paraId="6B695A66" w14:textId="77777777" w:rsidTr="0047334C">
        <w:trPr>
          <w:cantSplit/>
          <w:trHeight w:val="102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14:paraId="1608E110" w14:textId="77777777" w:rsidR="00F4016B" w:rsidRPr="009830F8" w:rsidRDefault="00F4016B" w:rsidP="003B27FB">
            <w:pPr>
              <w:spacing w:after="0" w:line="240" w:lineRule="auto"/>
              <w:ind w:left="113" w:right="113"/>
              <w:jc w:val="center"/>
              <w:rPr>
                <w:rFonts w:ascii="Century Gothic" w:hAnsi="Century Gothic"/>
                <w:sz w:val="20"/>
              </w:rPr>
            </w:pPr>
            <w:r>
              <w:rPr>
                <w:rFonts w:ascii="Century Gothic" w:hAnsi="Century Gothic"/>
                <w:sz w:val="20"/>
              </w:rPr>
              <w:t>Year 1</w:t>
            </w:r>
          </w:p>
        </w:tc>
        <w:tc>
          <w:tcPr>
            <w:tcW w:w="4132" w:type="dxa"/>
            <w:tcBorders>
              <w:top w:val="single" w:sz="4" w:space="0" w:color="000000"/>
              <w:left w:val="single" w:sz="4" w:space="0" w:color="000000"/>
              <w:bottom w:val="single" w:sz="4" w:space="0" w:color="000000"/>
              <w:right w:val="single" w:sz="4" w:space="0" w:color="000000"/>
            </w:tcBorders>
          </w:tcPr>
          <w:p w14:paraId="6DAEF2E9" w14:textId="77777777" w:rsidR="00F4016B" w:rsidRPr="00F4016B" w:rsidRDefault="00F4016B" w:rsidP="00F4016B">
            <w:pPr>
              <w:spacing w:after="0" w:line="240" w:lineRule="auto"/>
              <w:rPr>
                <w:rFonts w:ascii="Century Gothic" w:hAnsi="Century Gothic"/>
                <w:sz w:val="20"/>
                <w:highlight w:val="green"/>
              </w:rPr>
            </w:pPr>
            <w:r w:rsidRPr="00F4016B">
              <w:rPr>
                <w:rFonts w:ascii="Century Gothic" w:hAnsi="Century Gothic"/>
                <w:sz w:val="20"/>
                <w:highlight w:val="green"/>
              </w:rPr>
              <w:t>Know that the toys their</w:t>
            </w:r>
            <w:r w:rsidRPr="009830F8">
              <w:rPr>
                <w:rFonts w:ascii="Century Gothic" w:hAnsi="Century Gothic"/>
                <w:sz w:val="20"/>
              </w:rPr>
              <w:t xml:space="preserve"> </w:t>
            </w:r>
            <w:r w:rsidRPr="00F4016B">
              <w:rPr>
                <w:rFonts w:ascii="Century Gothic" w:hAnsi="Century Gothic"/>
                <w:sz w:val="20"/>
                <w:highlight w:val="green"/>
              </w:rPr>
              <w:t>grandparents played with were different to their own</w:t>
            </w:r>
          </w:p>
          <w:p w14:paraId="6BA9B526" w14:textId="77777777" w:rsidR="00F4016B" w:rsidRPr="00F4016B" w:rsidRDefault="00F4016B" w:rsidP="00F4016B">
            <w:pPr>
              <w:spacing w:after="0" w:line="240" w:lineRule="auto"/>
              <w:rPr>
                <w:rFonts w:ascii="Century Gothic" w:hAnsi="Century Gothic"/>
                <w:sz w:val="20"/>
                <w:highlight w:val="green"/>
              </w:rPr>
            </w:pPr>
          </w:p>
          <w:p w14:paraId="68977135" w14:textId="77777777" w:rsidR="00F4016B" w:rsidRPr="00F4016B" w:rsidRDefault="00F4016B" w:rsidP="00F4016B">
            <w:pPr>
              <w:spacing w:after="0" w:line="240" w:lineRule="auto"/>
              <w:rPr>
                <w:rFonts w:ascii="Century Gothic" w:hAnsi="Century Gothic"/>
                <w:sz w:val="20"/>
                <w:highlight w:val="green"/>
              </w:rPr>
            </w:pPr>
            <w:r w:rsidRPr="00F4016B">
              <w:rPr>
                <w:rFonts w:ascii="Century Gothic" w:hAnsi="Century Gothic"/>
                <w:sz w:val="20"/>
                <w:highlight w:val="green"/>
              </w:rPr>
              <w:t>Organise a number of artefacts by age</w:t>
            </w:r>
          </w:p>
          <w:p w14:paraId="14DEE895" w14:textId="77777777" w:rsidR="00F4016B" w:rsidRPr="00F4016B" w:rsidRDefault="00F4016B" w:rsidP="00F4016B">
            <w:pPr>
              <w:spacing w:after="0" w:line="240" w:lineRule="auto"/>
              <w:rPr>
                <w:rFonts w:ascii="Century Gothic" w:hAnsi="Century Gothic"/>
                <w:sz w:val="20"/>
                <w:highlight w:val="green"/>
              </w:rPr>
            </w:pPr>
          </w:p>
          <w:p w14:paraId="468D45F0" w14:textId="77777777" w:rsidR="00F4016B" w:rsidRPr="00F4016B" w:rsidRDefault="00F4016B" w:rsidP="00F4016B">
            <w:pPr>
              <w:spacing w:after="0" w:line="240" w:lineRule="auto"/>
              <w:rPr>
                <w:rFonts w:ascii="Century Gothic" w:hAnsi="Century Gothic"/>
                <w:sz w:val="20"/>
                <w:highlight w:val="green"/>
              </w:rPr>
            </w:pPr>
            <w:r w:rsidRPr="00F4016B">
              <w:rPr>
                <w:rFonts w:ascii="Century Gothic" w:hAnsi="Century Gothic"/>
                <w:sz w:val="20"/>
                <w:highlight w:val="green"/>
              </w:rPr>
              <w:t>Know what a number of older objects were used for</w:t>
            </w:r>
          </w:p>
          <w:p w14:paraId="34C0EFAA" w14:textId="77777777" w:rsidR="00F4016B" w:rsidRPr="00F4016B" w:rsidRDefault="00F4016B" w:rsidP="00F4016B">
            <w:pPr>
              <w:spacing w:after="0" w:line="240" w:lineRule="auto"/>
              <w:rPr>
                <w:rFonts w:ascii="Century Gothic" w:hAnsi="Century Gothic"/>
                <w:sz w:val="20"/>
                <w:highlight w:val="green"/>
              </w:rPr>
            </w:pPr>
          </w:p>
          <w:p w14:paraId="68B720AD" w14:textId="77777777" w:rsidR="00F4016B" w:rsidRPr="009830F8" w:rsidRDefault="00F4016B" w:rsidP="00F4016B">
            <w:pPr>
              <w:spacing w:after="0" w:line="240" w:lineRule="auto"/>
              <w:rPr>
                <w:rFonts w:ascii="Century Gothic" w:hAnsi="Century Gothic"/>
                <w:sz w:val="20"/>
              </w:rPr>
            </w:pPr>
            <w:r w:rsidRPr="00F4016B">
              <w:rPr>
                <w:rFonts w:ascii="Century Gothic" w:hAnsi="Century Gothic"/>
                <w:sz w:val="20"/>
                <w:highlight w:val="green"/>
              </w:rPr>
              <w:t>Know the main differences between their school days and that of their grandparents</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6D7778" w14:textId="77777777" w:rsidR="00F4016B" w:rsidRPr="009830F8" w:rsidRDefault="00F4016B" w:rsidP="00F4016B">
            <w:pPr>
              <w:spacing w:after="0" w:line="240" w:lineRule="auto"/>
              <w:rPr>
                <w:rFonts w:ascii="Century Gothic" w:hAnsi="Century Gothic"/>
                <w:sz w:val="20"/>
              </w:rPr>
            </w:pPr>
          </w:p>
          <w:p w14:paraId="068D22A5" w14:textId="77777777" w:rsidR="00F4016B" w:rsidRPr="009830F8" w:rsidRDefault="00F4016B" w:rsidP="00F4016B">
            <w:pPr>
              <w:spacing w:after="0" w:line="240" w:lineRule="auto"/>
              <w:rPr>
                <w:rFonts w:ascii="Century Gothic" w:hAnsi="Century Gothic"/>
                <w:sz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F76C491" w14:textId="77777777" w:rsidR="00F4016B" w:rsidRPr="009830F8" w:rsidRDefault="00F4016B" w:rsidP="00F4016B">
            <w:pPr>
              <w:spacing w:after="0" w:line="240" w:lineRule="auto"/>
              <w:rPr>
                <w:rFonts w:ascii="Century Gothic" w:hAnsi="Century Gothic"/>
                <w:sz w:val="20"/>
              </w:rPr>
            </w:pPr>
            <w:r w:rsidRPr="00F4016B">
              <w:rPr>
                <w:rFonts w:ascii="Century Gothic" w:hAnsi="Century Gothic"/>
                <w:sz w:val="20"/>
                <w:highlight w:val="green"/>
              </w:rPr>
              <w:t>Name a famous person from the past and explain why they are famous</w:t>
            </w:r>
          </w:p>
          <w:p w14:paraId="3A5FEA75" w14:textId="77777777" w:rsidR="00F4016B" w:rsidRDefault="00F4016B" w:rsidP="00F4016B">
            <w:pPr>
              <w:spacing w:after="0" w:line="240" w:lineRule="auto"/>
              <w:rPr>
                <w:rFonts w:ascii="Century Gothic" w:hAnsi="Century Gothic"/>
                <w:sz w:val="20"/>
              </w:rPr>
            </w:pPr>
          </w:p>
          <w:p w14:paraId="0CB2670B" w14:textId="77777777" w:rsidR="00F4016B" w:rsidRPr="009830F8" w:rsidRDefault="00F4016B" w:rsidP="00F4016B">
            <w:pPr>
              <w:spacing w:after="0" w:line="240" w:lineRule="auto"/>
              <w:rPr>
                <w:rFonts w:ascii="Century Gothic" w:hAnsi="Century Gothic"/>
                <w:sz w:val="20"/>
              </w:rPr>
            </w:pPr>
          </w:p>
        </w:tc>
        <w:tc>
          <w:tcPr>
            <w:tcW w:w="57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327D0FC" w14:textId="77777777" w:rsidR="00F4016B" w:rsidRDefault="00F4016B" w:rsidP="00F4016B">
            <w:pPr>
              <w:spacing w:after="0" w:line="240" w:lineRule="auto"/>
              <w:rPr>
                <w:rFonts w:ascii="Century Gothic" w:hAnsi="Century Gothic"/>
                <w:sz w:val="20"/>
              </w:rPr>
            </w:pPr>
            <w:r w:rsidRPr="00FD1050">
              <w:rPr>
                <w:rFonts w:ascii="Century Gothic" w:hAnsi="Century Gothic"/>
                <w:sz w:val="20"/>
                <w:highlight w:val="green"/>
              </w:rPr>
              <w:t>Know the name of a famous person, or a famous place, close to where they live</w:t>
            </w:r>
          </w:p>
          <w:p w14:paraId="19893209" w14:textId="77777777" w:rsidR="00F4016B" w:rsidRPr="009830F8" w:rsidRDefault="00F4016B" w:rsidP="00F4016B">
            <w:pPr>
              <w:spacing w:after="0" w:line="240" w:lineRule="auto"/>
              <w:rPr>
                <w:rFonts w:ascii="Century Gothic" w:hAnsi="Century Gothic"/>
                <w:sz w:val="20"/>
              </w:rPr>
            </w:pPr>
          </w:p>
          <w:p w14:paraId="3F51389E"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sz w:val="20"/>
              </w:rPr>
              <w:t>Know how the local area is different to the way it used to be a long time ago</w:t>
            </w:r>
          </w:p>
          <w:p w14:paraId="29F5EBD4" w14:textId="77777777" w:rsidR="00F4016B" w:rsidRDefault="00F4016B" w:rsidP="00F4016B">
            <w:pPr>
              <w:spacing w:after="0" w:line="240" w:lineRule="auto"/>
              <w:rPr>
                <w:rFonts w:ascii="Century Gothic" w:hAnsi="Century Gothic"/>
                <w:sz w:val="20"/>
              </w:rPr>
            </w:pPr>
          </w:p>
          <w:p w14:paraId="5A64E31B" w14:textId="77777777" w:rsidR="00F4016B" w:rsidRPr="009830F8" w:rsidRDefault="00F4016B" w:rsidP="00F4016B">
            <w:pPr>
              <w:spacing w:after="0" w:line="240" w:lineRule="auto"/>
              <w:rPr>
                <w:rFonts w:ascii="Century Gothic" w:hAnsi="Century Gothic"/>
                <w:sz w:val="20"/>
              </w:rPr>
            </w:pPr>
            <w:r w:rsidRPr="009830F8">
              <w:rPr>
                <w:rFonts w:ascii="Century Gothic" w:hAnsi="Century Gothic"/>
                <w:sz w:val="20"/>
              </w:rPr>
              <w:t>Differentiate between things that were here 100 years ago and things that were not (including buildings, tools, toys, etc.</w:t>
            </w:r>
          </w:p>
        </w:tc>
      </w:tr>
      <w:tr w:rsidR="00F4016B" w:rsidRPr="009830F8" w14:paraId="78782631" w14:textId="77777777" w:rsidTr="0047334C">
        <w:trPr>
          <w:cantSplit/>
          <w:trHeight w:val="1020"/>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extDirection w:val="btLr"/>
          </w:tcPr>
          <w:p w14:paraId="43BDE1DB" w14:textId="77777777" w:rsidR="00F4016B" w:rsidRPr="00F4016B" w:rsidRDefault="00F4016B" w:rsidP="003B27FB">
            <w:pPr>
              <w:spacing w:after="0" w:line="240" w:lineRule="auto"/>
              <w:ind w:left="113" w:right="113"/>
              <w:jc w:val="center"/>
              <w:rPr>
                <w:rFonts w:ascii="Century Gothic" w:hAnsi="Century Gothic"/>
                <w:sz w:val="20"/>
                <w:highlight w:val="green"/>
              </w:rPr>
            </w:pPr>
            <w:r w:rsidRPr="000208EB">
              <w:rPr>
                <w:rFonts w:ascii="Century Gothic" w:hAnsi="Century Gothic"/>
                <w:sz w:val="20"/>
              </w:rPr>
              <w:lastRenderedPageBreak/>
              <w:t>Year 2</w:t>
            </w:r>
          </w:p>
        </w:tc>
        <w:tc>
          <w:tcPr>
            <w:tcW w:w="4132" w:type="dxa"/>
            <w:tcBorders>
              <w:top w:val="single" w:sz="4" w:space="0" w:color="000000"/>
              <w:left w:val="single" w:sz="4" w:space="0" w:color="000000"/>
              <w:bottom w:val="single" w:sz="4" w:space="0" w:color="000000"/>
              <w:right w:val="single" w:sz="4" w:space="0" w:color="000000"/>
            </w:tcBorders>
          </w:tcPr>
          <w:p w14:paraId="668E707D" w14:textId="77777777" w:rsidR="00F4016B" w:rsidRPr="009830F8" w:rsidRDefault="00F4016B" w:rsidP="00F4016B">
            <w:pPr>
              <w:spacing w:after="0" w:line="240" w:lineRule="auto"/>
              <w:rPr>
                <w:rFonts w:ascii="Century Gothic" w:hAnsi="Century Gothic"/>
                <w:sz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17E54C3" w14:textId="77777777" w:rsidR="003B27FB" w:rsidRPr="003B27FB" w:rsidRDefault="003B27FB" w:rsidP="003B27FB">
            <w:pPr>
              <w:spacing w:after="0" w:line="240" w:lineRule="auto"/>
              <w:rPr>
                <w:rFonts w:ascii="Century Gothic" w:hAnsi="Century Gothic"/>
                <w:sz w:val="20"/>
                <w:highlight w:val="green"/>
              </w:rPr>
            </w:pPr>
            <w:r w:rsidRPr="003B27FB">
              <w:rPr>
                <w:rFonts w:ascii="Century Gothic" w:hAnsi="Century Gothic"/>
                <w:sz w:val="20"/>
                <w:highlight w:val="green"/>
              </w:rPr>
              <w:t>Know about an event or events that happened long ago, even before their grandparents were born</w:t>
            </w:r>
          </w:p>
          <w:p w14:paraId="66867F26" w14:textId="77777777" w:rsidR="003B27FB" w:rsidRPr="003B27FB" w:rsidRDefault="003B27FB" w:rsidP="003B27FB">
            <w:pPr>
              <w:spacing w:after="0" w:line="240" w:lineRule="auto"/>
              <w:rPr>
                <w:rFonts w:ascii="Century Gothic" w:hAnsi="Century Gothic"/>
                <w:sz w:val="20"/>
                <w:highlight w:val="green"/>
              </w:rPr>
            </w:pPr>
          </w:p>
          <w:p w14:paraId="50C8CB7E" w14:textId="77777777" w:rsidR="003B27FB" w:rsidRDefault="003B27FB" w:rsidP="003B27FB">
            <w:pPr>
              <w:spacing w:after="0" w:line="240" w:lineRule="auto"/>
              <w:rPr>
                <w:rFonts w:ascii="Century Gothic" w:hAnsi="Century Gothic"/>
                <w:sz w:val="20"/>
              </w:rPr>
            </w:pPr>
            <w:r w:rsidRPr="003B27FB">
              <w:rPr>
                <w:rFonts w:ascii="Century Gothic" w:hAnsi="Century Gothic"/>
                <w:sz w:val="20"/>
                <w:highlight w:val="green"/>
              </w:rPr>
              <w:t>Know what we use today instead of a number of older given artefacts</w:t>
            </w:r>
            <w:r w:rsidRPr="009830F8">
              <w:rPr>
                <w:rFonts w:ascii="Century Gothic" w:hAnsi="Century Gothic"/>
                <w:sz w:val="20"/>
              </w:rPr>
              <w:t xml:space="preserve"> </w:t>
            </w:r>
          </w:p>
          <w:p w14:paraId="42337B49" w14:textId="77777777" w:rsidR="003B27FB" w:rsidRDefault="003B27FB" w:rsidP="003B27FB">
            <w:pPr>
              <w:spacing w:after="0" w:line="240" w:lineRule="auto"/>
              <w:rPr>
                <w:rFonts w:ascii="Century Gothic" w:hAnsi="Century Gothic"/>
                <w:sz w:val="20"/>
              </w:rPr>
            </w:pPr>
          </w:p>
          <w:p w14:paraId="4C0D898B" w14:textId="77777777" w:rsidR="00F4016B" w:rsidRPr="009830F8" w:rsidRDefault="003B27FB" w:rsidP="00F4016B">
            <w:pPr>
              <w:spacing w:after="0" w:line="240" w:lineRule="auto"/>
              <w:rPr>
                <w:rFonts w:ascii="Century Gothic" w:hAnsi="Century Gothic"/>
                <w:sz w:val="20"/>
              </w:rPr>
            </w:pPr>
            <w:r w:rsidRPr="003B27FB">
              <w:rPr>
                <w:rFonts w:ascii="Century Gothic" w:hAnsi="Century Gothic"/>
                <w:sz w:val="20"/>
                <w:highlight w:val="green"/>
              </w:rPr>
              <w:t>Know that children’s lives today are different to those of children a long time ago</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E627429" w14:textId="77777777" w:rsidR="00F4016B" w:rsidRPr="009830F8" w:rsidRDefault="00F4016B" w:rsidP="00F4016B">
            <w:pPr>
              <w:spacing w:after="0" w:line="240" w:lineRule="auto"/>
              <w:rPr>
                <w:rFonts w:ascii="Century Gothic" w:hAnsi="Century Gothic"/>
                <w:sz w:val="20"/>
              </w:rPr>
            </w:pPr>
            <w:r w:rsidRPr="003B27FB">
              <w:rPr>
                <w:rFonts w:ascii="Century Gothic" w:hAnsi="Century Gothic"/>
                <w:sz w:val="20"/>
                <w:highlight w:val="green"/>
              </w:rPr>
              <w:t>Know about a famous person from outside the UK and explain why they are famous</w:t>
            </w:r>
          </w:p>
        </w:tc>
        <w:tc>
          <w:tcPr>
            <w:tcW w:w="57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20F1A7D" w14:textId="77777777" w:rsidR="00F4016B" w:rsidRPr="009830F8" w:rsidRDefault="00F4016B" w:rsidP="00F4016B">
            <w:pPr>
              <w:spacing w:after="0" w:line="240" w:lineRule="auto"/>
              <w:rPr>
                <w:rFonts w:ascii="Century Gothic" w:hAnsi="Century Gothic"/>
                <w:sz w:val="20"/>
              </w:rPr>
            </w:pPr>
          </w:p>
        </w:tc>
      </w:tr>
    </w:tbl>
    <w:p w14:paraId="345E1E83" w14:textId="77777777" w:rsidR="003B1796" w:rsidRPr="009830F8" w:rsidRDefault="003B1796" w:rsidP="009830F8">
      <w:pPr>
        <w:spacing w:after="0" w:line="240" w:lineRule="auto"/>
        <w:rPr>
          <w:rFonts w:ascii="Century Gothic" w:hAnsi="Century Gothic"/>
          <w:sz w:val="20"/>
        </w:rPr>
      </w:pPr>
    </w:p>
    <w:sectPr w:rsidR="003B1796" w:rsidRPr="009830F8" w:rsidSect="009830F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974F" w14:textId="77777777" w:rsidR="003D4A36" w:rsidRDefault="003D4A36" w:rsidP="009830F8">
      <w:pPr>
        <w:spacing w:after="0" w:line="240" w:lineRule="auto"/>
      </w:pPr>
      <w:r>
        <w:separator/>
      </w:r>
    </w:p>
  </w:endnote>
  <w:endnote w:type="continuationSeparator" w:id="0">
    <w:p w14:paraId="426A54CA" w14:textId="77777777" w:rsidR="003D4A36" w:rsidRDefault="003D4A36" w:rsidP="0098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16C" w14:textId="77777777" w:rsidR="0047334C" w:rsidRDefault="0047334C">
    <w:pPr>
      <w:pStyle w:val="Footer"/>
    </w:pPr>
    <w:r>
      <w:rPr>
        <w:noProof/>
        <w:lang w:eastAsia="en-GB"/>
      </w:rPr>
      <w:drawing>
        <wp:anchor distT="0" distB="0" distL="114300" distR="114300" simplePos="0" relativeHeight="251659264" behindDoc="0" locked="0" layoutInCell="1" allowOverlap="1" wp14:anchorId="75753555" wp14:editId="2C8BE701">
          <wp:simplePos x="0" y="0"/>
          <wp:positionH relativeFrom="rightMargin">
            <wp:posOffset>-309880</wp:posOffset>
          </wp:positionH>
          <wp:positionV relativeFrom="paragraph">
            <wp:posOffset>-19050</wp:posOffset>
          </wp:positionV>
          <wp:extent cx="440415" cy="512786"/>
          <wp:effectExtent l="0" t="0" r="0" b="1905"/>
          <wp:wrapNone/>
          <wp:docPr id="1" name="Picture 1" descr="LKP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PS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415" cy="51278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DABD" w14:textId="77777777" w:rsidR="003D4A36" w:rsidRDefault="003D4A36" w:rsidP="009830F8">
      <w:pPr>
        <w:spacing w:after="0" w:line="240" w:lineRule="auto"/>
      </w:pPr>
      <w:r>
        <w:separator/>
      </w:r>
    </w:p>
  </w:footnote>
  <w:footnote w:type="continuationSeparator" w:id="0">
    <w:p w14:paraId="5087F889" w14:textId="77777777" w:rsidR="003D4A36" w:rsidRDefault="003D4A36" w:rsidP="0098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20D8"/>
    <w:multiLevelType w:val="hybridMultilevel"/>
    <w:tmpl w:val="730AA8D2"/>
    <w:lvl w:ilvl="0" w:tplc="21367DFC">
      <w:start w:val="1"/>
      <w:numFmt w:val="bullet"/>
      <w:lvlText w:val="•"/>
      <w:lvlJc w:val="left"/>
      <w:pPr>
        <w:tabs>
          <w:tab w:val="num" w:pos="720"/>
        </w:tabs>
        <w:ind w:left="720" w:hanging="360"/>
      </w:pPr>
      <w:rPr>
        <w:rFonts w:ascii="Arial" w:hAnsi="Arial" w:hint="default"/>
      </w:rPr>
    </w:lvl>
    <w:lvl w:ilvl="1" w:tplc="A0101BCE" w:tentative="1">
      <w:start w:val="1"/>
      <w:numFmt w:val="bullet"/>
      <w:lvlText w:val="•"/>
      <w:lvlJc w:val="left"/>
      <w:pPr>
        <w:tabs>
          <w:tab w:val="num" w:pos="1440"/>
        </w:tabs>
        <w:ind w:left="1440" w:hanging="360"/>
      </w:pPr>
      <w:rPr>
        <w:rFonts w:ascii="Arial" w:hAnsi="Arial" w:hint="default"/>
      </w:rPr>
    </w:lvl>
    <w:lvl w:ilvl="2" w:tplc="3312A694" w:tentative="1">
      <w:start w:val="1"/>
      <w:numFmt w:val="bullet"/>
      <w:lvlText w:val="•"/>
      <w:lvlJc w:val="left"/>
      <w:pPr>
        <w:tabs>
          <w:tab w:val="num" w:pos="2160"/>
        </w:tabs>
        <w:ind w:left="2160" w:hanging="360"/>
      </w:pPr>
      <w:rPr>
        <w:rFonts w:ascii="Arial" w:hAnsi="Arial" w:hint="default"/>
      </w:rPr>
    </w:lvl>
    <w:lvl w:ilvl="3" w:tplc="09BCEF48" w:tentative="1">
      <w:start w:val="1"/>
      <w:numFmt w:val="bullet"/>
      <w:lvlText w:val="•"/>
      <w:lvlJc w:val="left"/>
      <w:pPr>
        <w:tabs>
          <w:tab w:val="num" w:pos="2880"/>
        </w:tabs>
        <w:ind w:left="2880" w:hanging="360"/>
      </w:pPr>
      <w:rPr>
        <w:rFonts w:ascii="Arial" w:hAnsi="Arial" w:hint="default"/>
      </w:rPr>
    </w:lvl>
    <w:lvl w:ilvl="4" w:tplc="614AC630" w:tentative="1">
      <w:start w:val="1"/>
      <w:numFmt w:val="bullet"/>
      <w:lvlText w:val="•"/>
      <w:lvlJc w:val="left"/>
      <w:pPr>
        <w:tabs>
          <w:tab w:val="num" w:pos="3600"/>
        </w:tabs>
        <w:ind w:left="3600" w:hanging="360"/>
      </w:pPr>
      <w:rPr>
        <w:rFonts w:ascii="Arial" w:hAnsi="Arial" w:hint="default"/>
      </w:rPr>
    </w:lvl>
    <w:lvl w:ilvl="5" w:tplc="CB924470" w:tentative="1">
      <w:start w:val="1"/>
      <w:numFmt w:val="bullet"/>
      <w:lvlText w:val="•"/>
      <w:lvlJc w:val="left"/>
      <w:pPr>
        <w:tabs>
          <w:tab w:val="num" w:pos="4320"/>
        </w:tabs>
        <w:ind w:left="4320" w:hanging="360"/>
      </w:pPr>
      <w:rPr>
        <w:rFonts w:ascii="Arial" w:hAnsi="Arial" w:hint="default"/>
      </w:rPr>
    </w:lvl>
    <w:lvl w:ilvl="6" w:tplc="D2F6AD08" w:tentative="1">
      <w:start w:val="1"/>
      <w:numFmt w:val="bullet"/>
      <w:lvlText w:val="•"/>
      <w:lvlJc w:val="left"/>
      <w:pPr>
        <w:tabs>
          <w:tab w:val="num" w:pos="5040"/>
        </w:tabs>
        <w:ind w:left="5040" w:hanging="360"/>
      </w:pPr>
      <w:rPr>
        <w:rFonts w:ascii="Arial" w:hAnsi="Arial" w:hint="default"/>
      </w:rPr>
    </w:lvl>
    <w:lvl w:ilvl="7" w:tplc="B8DC4B4A" w:tentative="1">
      <w:start w:val="1"/>
      <w:numFmt w:val="bullet"/>
      <w:lvlText w:val="•"/>
      <w:lvlJc w:val="left"/>
      <w:pPr>
        <w:tabs>
          <w:tab w:val="num" w:pos="5760"/>
        </w:tabs>
        <w:ind w:left="5760" w:hanging="360"/>
      </w:pPr>
      <w:rPr>
        <w:rFonts w:ascii="Arial" w:hAnsi="Arial" w:hint="default"/>
      </w:rPr>
    </w:lvl>
    <w:lvl w:ilvl="8" w:tplc="BB007B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4E439B9"/>
    <w:multiLevelType w:val="hybridMultilevel"/>
    <w:tmpl w:val="3EB2B01E"/>
    <w:lvl w:ilvl="0" w:tplc="05388314">
      <w:start w:val="1"/>
      <w:numFmt w:val="bullet"/>
      <w:lvlText w:val="•"/>
      <w:lvlJc w:val="left"/>
      <w:pPr>
        <w:tabs>
          <w:tab w:val="num" w:pos="720"/>
        </w:tabs>
        <w:ind w:left="720" w:hanging="360"/>
      </w:pPr>
      <w:rPr>
        <w:rFonts w:ascii="Arial" w:hAnsi="Arial" w:hint="default"/>
      </w:rPr>
    </w:lvl>
    <w:lvl w:ilvl="1" w:tplc="2A2E8286" w:tentative="1">
      <w:start w:val="1"/>
      <w:numFmt w:val="bullet"/>
      <w:lvlText w:val="•"/>
      <w:lvlJc w:val="left"/>
      <w:pPr>
        <w:tabs>
          <w:tab w:val="num" w:pos="1440"/>
        </w:tabs>
        <w:ind w:left="1440" w:hanging="360"/>
      </w:pPr>
      <w:rPr>
        <w:rFonts w:ascii="Arial" w:hAnsi="Arial" w:hint="default"/>
      </w:rPr>
    </w:lvl>
    <w:lvl w:ilvl="2" w:tplc="EC8A0B96" w:tentative="1">
      <w:start w:val="1"/>
      <w:numFmt w:val="bullet"/>
      <w:lvlText w:val="•"/>
      <w:lvlJc w:val="left"/>
      <w:pPr>
        <w:tabs>
          <w:tab w:val="num" w:pos="2160"/>
        </w:tabs>
        <w:ind w:left="2160" w:hanging="360"/>
      </w:pPr>
      <w:rPr>
        <w:rFonts w:ascii="Arial" w:hAnsi="Arial" w:hint="default"/>
      </w:rPr>
    </w:lvl>
    <w:lvl w:ilvl="3" w:tplc="CCAC7CE0" w:tentative="1">
      <w:start w:val="1"/>
      <w:numFmt w:val="bullet"/>
      <w:lvlText w:val="•"/>
      <w:lvlJc w:val="left"/>
      <w:pPr>
        <w:tabs>
          <w:tab w:val="num" w:pos="2880"/>
        </w:tabs>
        <w:ind w:left="2880" w:hanging="360"/>
      </w:pPr>
      <w:rPr>
        <w:rFonts w:ascii="Arial" w:hAnsi="Arial" w:hint="default"/>
      </w:rPr>
    </w:lvl>
    <w:lvl w:ilvl="4" w:tplc="1C86AFC2" w:tentative="1">
      <w:start w:val="1"/>
      <w:numFmt w:val="bullet"/>
      <w:lvlText w:val="•"/>
      <w:lvlJc w:val="left"/>
      <w:pPr>
        <w:tabs>
          <w:tab w:val="num" w:pos="3600"/>
        </w:tabs>
        <w:ind w:left="3600" w:hanging="360"/>
      </w:pPr>
      <w:rPr>
        <w:rFonts w:ascii="Arial" w:hAnsi="Arial" w:hint="default"/>
      </w:rPr>
    </w:lvl>
    <w:lvl w:ilvl="5" w:tplc="1706AE42" w:tentative="1">
      <w:start w:val="1"/>
      <w:numFmt w:val="bullet"/>
      <w:lvlText w:val="•"/>
      <w:lvlJc w:val="left"/>
      <w:pPr>
        <w:tabs>
          <w:tab w:val="num" w:pos="4320"/>
        </w:tabs>
        <w:ind w:left="4320" w:hanging="360"/>
      </w:pPr>
      <w:rPr>
        <w:rFonts w:ascii="Arial" w:hAnsi="Arial" w:hint="default"/>
      </w:rPr>
    </w:lvl>
    <w:lvl w:ilvl="6" w:tplc="C54692F6" w:tentative="1">
      <w:start w:val="1"/>
      <w:numFmt w:val="bullet"/>
      <w:lvlText w:val="•"/>
      <w:lvlJc w:val="left"/>
      <w:pPr>
        <w:tabs>
          <w:tab w:val="num" w:pos="5040"/>
        </w:tabs>
        <w:ind w:left="5040" w:hanging="360"/>
      </w:pPr>
      <w:rPr>
        <w:rFonts w:ascii="Arial" w:hAnsi="Arial" w:hint="default"/>
      </w:rPr>
    </w:lvl>
    <w:lvl w:ilvl="7" w:tplc="78F83E32" w:tentative="1">
      <w:start w:val="1"/>
      <w:numFmt w:val="bullet"/>
      <w:lvlText w:val="•"/>
      <w:lvlJc w:val="left"/>
      <w:pPr>
        <w:tabs>
          <w:tab w:val="num" w:pos="5760"/>
        </w:tabs>
        <w:ind w:left="5760" w:hanging="360"/>
      </w:pPr>
      <w:rPr>
        <w:rFonts w:ascii="Arial" w:hAnsi="Arial" w:hint="default"/>
      </w:rPr>
    </w:lvl>
    <w:lvl w:ilvl="8" w:tplc="81AE96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F8"/>
    <w:rsid w:val="000208EB"/>
    <w:rsid w:val="000310A3"/>
    <w:rsid w:val="002F339E"/>
    <w:rsid w:val="003B1796"/>
    <w:rsid w:val="003B27FB"/>
    <w:rsid w:val="003D4A36"/>
    <w:rsid w:val="0047334C"/>
    <w:rsid w:val="004A0292"/>
    <w:rsid w:val="005C5FF4"/>
    <w:rsid w:val="007026A7"/>
    <w:rsid w:val="008C616D"/>
    <w:rsid w:val="009830F8"/>
    <w:rsid w:val="00F121FB"/>
    <w:rsid w:val="00F4016B"/>
    <w:rsid w:val="00FD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05E8"/>
  <w15:chartTrackingRefBased/>
  <w15:docId w15:val="{F6D1AAAB-73C4-44FA-B590-C5E6AD1B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0F8"/>
  </w:style>
  <w:style w:type="paragraph" w:styleId="Footer">
    <w:name w:val="footer"/>
    <w:basedOn w:val="Normal"/>
    <w:link w:val="FooterChar"/>
    <w:uiPriority w:val="99"/>
    <w:unhideWhenUsed/>
    <w:rsid w:val="00983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2248">
      <w:bodyDiv w:val="1"/>
      <w:marLeft w:val="0"/>
      <w:marRight w:val="0"/>
      <w:marTop w:val="0"/>
      <w:marBottom w:val="0"/>
      <w:divBdr>
        <w:top w:val="none" w:sz="0" w:space="0" w:color="auto"/>
        <w:left w:val="none" w:sz="0" w:space="0" w:color="auto"/>
        <w:bottom w:val="none" w:sz="0" w:space="0" w:color="auto"/>
        <w:right w:val="none" w:sz="0" w:space="0" w:color="auto"/>
      </w:divBdr>
      <w:divsChild>
        <w:div w:id="1747916934">
          <w:marLeft w:val="274"/>
          <w:marRight w:val="0"/>
          <w:marTop w:val="0"/>
          <w:marBottom w:val="0"/>
          <w:divBdr>
            <w:top w:val="none" w:sz="0" w:space="0" w:color="auto"/>
            <w:left w:val="none" w:sz="0" w:space="0" w:color="auto"/>
            <w:bottom w:val="none" w:sz="0" w:space="0" w:color="auto"/>
            <w:right w:val="none" w:sz="0" w:space="0" w:color="auto"/>
          </w:divBdr>
        </w:div>
        <w:div w:id="2087458447">
          <w:marLeft w:val="274"/>
          <w:marRight w:val="0"/>
          <w:marTop w:val="0"/>
          <w:marBottom w:val="0"/>
          <w:divBdr>
            <w:top w:val="none" w:sz="0" w:space="0" w:color="auto"/>
            <w:left w:val="none" w:sz="0" w:space="0" w:color="auto"/>
            <w:bottom w:val="none" w:sz="0" w:space="0" w:color="auto"/>
            <w:right w:val="none" w:sz="0" w:space="0" w:color="auto"/>
          </w:divBdr>
        </w:div>
        <w:div w:id="562761394">
          <w:marLeft w:val="274"/>
          <w:marRight w:val="0"/>
          <w:marTop w:val="0"/>
          <w:marBottom w:val="0"/>
          <w:divBdr>
            <w:top w:val="none" w:sz="0" w:space="0" w:color="auto"/>
            <w:left w:val="none" w:sz="0" w:space="0" w:color="auto"/>
            <w:bottom w:val="none" w:sz="0" w:space="0" w:color="auto"/>
            <w:right w:val="none" w:sz="0" w:space="0" w:color="auto"/>
          </w:divBdr>
        </w:div>
        <w:div w:id="262569667">
          <w:marLeft w:val="274"/>
          <w:marRight w:val="0"/>
          <w:marTop w:val="0"/>
          <w:marBottom w:val="0"/>
          <w:divBdr>
            <w:top w:val="none" w:sz="0" w:space="0" w:color="auto"/>
            <w:left w:val="none" w:sz="0" w:space="0" w:color="auto"/>
            <w:bottom w:val="none" w:sz="0" w:space="0" w:color="auto"/>
            <w:right w:val="none" w:sz="0" w:space="0" w:color="auto"/>
          </w:divBdr>
        </w:div>
        <w:div w:id="1674146796">
          <w:marLeft w:val="274"/>
          <w:marRight w:val="0"/>
          <w:marTop w:val="0"/>
          <w:marBottom w:val="0"/>
          <w:divBdr>
            <w:top w:val="none" w:sz="0" w:space="0" w:color="auto"/>
            <w:left w:val="none" w:sz="0" w:space="0" w:color="auto"/>
            <w:bottom w:val="none" w:sz="0" w:space="0" w:color="auto"/>
            <w:right w:val="none" w:sz="0" w:space="0" w:color="auto"/>
          </w:divBdr>
        </w:div>
        <w:div w:id="114954710">
          <w:marLeft w:val="274"/>
          <w:marRight w:val="0"/>
          <w:marTop w:val="0"/>
          <w:marBottom w:val="0"/>
          <w:divBdr>
            <w:top w:val="none" w:sz="0" w:space="0" w:color="auto"/>
            <w:left w:val="none" w:sz="0" w:space="0" w:color="auto"/>
            <w:bottom w:val="none" w:sz="0" w:space="0" w:color="auto"/>
            <w:right w:val="none" w:sz="0" w:space="0" w:color="auto"/>
          </w:divBdr>
        </w:div>
        <w:div w:id="394621474">
          <w:marLeft w:val="274"/>
          <w:marRight w:val="0"/>
          <w:marTop w:val="0"/>
          <w:marBottom w:val="0"/>
          <w:divBdr>
            <w:top w:val="none" w:sz="0" w:space="0" w:color="auto"/>
            <w:left w:val="none" w:sz="0" w:space="0" w:color="auto"/>
            <w:bottom w:val="none" w:sz="0" w:space="0" w:color="auto"/>
            <w:right w:val="none" w:sz="0" w:space="0" w:color="auto"/>
          </w:divBdr>
        </w:div>
        <w:div w:id="63063550">
          <w:marLeft w:val="274"/>
          <w:marRight w:val="0"/>
          <w:marTop w:val="0"/>
          <w:marBottom w:val="0"/>
          <w:divBdr>
            <w:top w:val="none" w:sz="0" w:space="0" w:color="auto"/>
            <w:left w:val="none" w:sz="0" w:space="0" w:color="auto"/>
            <w:bottom w:val="none" w:sz="0" w:space="0" w:color="auto"/>
            <w:right w:val="none" w:sz="0" w:space="0" w:color="auto"/>
          </w:divBdr>
        </w:div>
        <w:div w:id="695234515">
          <w:marLeft w:val="274"/>
          <w:marRight w:val="0"/>
          <w:marTop w:val="0"/>
          <w:marBottom w:val="0"/>
          <w:divBdr>
            <w:top w:val="none" w:sz="0" w:space="0" w:color="auto"/>
            <w:left w:val="none" w:sz="0" w:space="0" w:color="auto"/>
            <w:bottom w:val="none" w:sz="0" w:space="0" w:color="auto"/>
            <w:right w:val="none" w:sz="0" w:space="0" w:color="auto"/>
          </w:divBdr>
        </w:div>
        <w:div w:id="1512723013">
          <w:marLeft w:val="274"/>
          <w:marRight w:val="0"/>
          <w:marTop w:val="0"/>
          <w:marBottom w:val="0"/>
          <w:divBdr>
            <w:top w:val="none" w:sz="0" w:space="0" w:color="auto"/>
            <w:left w:val="none" w:sz="0" w:space="0" w:color="auto"/>
            <w:bottom w:val="none" w:sz="0" w:space="0" w:color="auto"/>
            <w:right w:val="none" w:sz="0" w:space="0" w:color="auto"/>
          </w:divBdr>
        </w:div>
        <w:div w:id="1973972869">
          <w:marLeft w:val="274"/>
          <w:marRight w:val="0"/>
          <w:marTop w:val="0"/>
          <w:marBottom w:val="0"/>
          <w:divBdr>
            <w:top w:val="none" w:sz="0" w:space="0" w:color="auto"/>
            <w:left w:val="none" w:sz="0" w:space="0" w:color="auto"/>
            <w:bottom w:val="none" w:sz="0" w:space="0" w:color="auto"/>
            <w:right w:val="none" w:sz="0" w:space="0" w:color="auto"/>
          </w:divBdr>
        </w:div>
        <w:div w:id="432672687">
          <w:marLeft w:val="274"/>
          <w:marRight w:val="0"/>
          <w:marTop w:val="0"/>
          <w:marBottom w:val="0"/>
          <w:divBdr>
            <w:top w:val="none" w:sz="0" w:space="0" w:color="auto"/>
            <w:left w:val="none" w:sz="0" w:space="0" w:color="auto"/>
            <w:bottom w:val="none" w:sz="0" w:space="0" w:color="auto"/>
            <w:right w:val="none" w:sz="0" w:space="0" w:color="auto"/>
          </w:divBdr>
        </w:div>
        <w:div w:id="817108392">
          <w:marLeft w:val="274"/>
          <w:marRight w:val="0"/>
          <w:marTop w:val="0"/>
          <w:marBottom w:val="0"/>
          <w:divBdr>
            <w:top w:val="none" w:sz="0" w:space="0" w:color="auto"/>
            <w:left w:val="none" w:sz="0" w:space="0" w:color="auto"/>
            <w:bottom w:val="none" w:sz="0" w:space="0" w:color="auto"/>
            <w:right w:val="none" w:sz="0" w:space="0" w:color="auto"/>
          </w:divBdr>
        </w:div>
        <w:div w:id="1992364191">
          <w:marLeft w:val="274"/>
          <w:marRight w:val="0"/>
          <w:marTop w:val="0"/>
          <w:marBottom w:val="0"/>
          <w:divBdr>
            <w:top w:val="none" w:sz="0" w:space="0" w:color="auto"/>
            <w:left w:val="none" w:sz="0" w:space="0" w:color="auto"/>
            <w:bottom w:val="none" w:sz="0" w:space="0" w:color="auto"/>
            <w:right w:val="none" w:sz="0" w:space="0" w:color="auto"/>
          </w:divBdr>
        </w:div>
        <w:div w:id="10774197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Reynolds</dc:creator>
  <cp:keywords/>
  <dc:description/>
  <cp:lastModifiedBy>Daniel Rutter</cp:lastModifiedBy>
  <cp:revision>2</cp:revision>
  <dcterms:created xsi:type="dcterms:W3CDTF">2021-09-07T09:51:00Z</dcterms:created>
  <dcterms:modified xsi:type="dcterms:W3CDTF">2021-09-07T09:51:00Z</dcterms:modified>
</cp:coreProperties>
</file>